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EA" w:rsidRDefault="00BA2FEA" w:rsidP="00C177F7">
      <w:pPr>
        <w:pStyle w:val="NormalWeb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СУДСКЕ ТАКСЕ У КРИВИЧНОМ ПОСТУПКУ ПО ПРИВАТНОЈ ТУЖБИ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одељку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цитиране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одредбе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Таксене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тужби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  <w:r>
        <w:rPr>
          <w:rFonts w:ascii="Verdana" w:hAnsi="Verdana"/>
          <w:color w:val="000000"/>
          <w:sz w:val="18"/>
          <w:szCs w:val="18"/>
        </w:rPr>
        <w:t> 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b/>
          <w:bCs/>
          <w:color w:val="000000"/>
          <w:sz w:val="18"/>
          <w:szCs w:val="18"/>
        </w:rPr>
        <w:t>Поднесци</w:t>
      </w:r>
      <w:proofErr w:type="spellEnd"/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20.</w:t>
      </w:r>
      <w:proofErr w:type="gramEnd"/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(1)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противтужбу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захтев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(3)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против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изриче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води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заједнички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предмета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утицаја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односи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тужилаца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окривљених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подноси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тужилаца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окривљених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што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обухвата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окривљеног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проширује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друга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окривљеног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гони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тужби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(1)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нису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наведени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овом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тарифном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као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прилоге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поднеске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Одлуке</w:t>
      </w:r>
      <w:proofErr w:type="spellEnd"/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Тарифни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21.</w:t>
      </w:r>
      <w:proofErr w:type="gramEnd"/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изриче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судска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а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остала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решења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којима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окончава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1.000 </w:t>
      </w:r>
      <w:proofErr w:type="spellStart"/>
      <w:r>
        <w:rPr>
          <w:rFonts w:ascii="Verdana" w:hAnsi="Verdana"/>
          <w:color w:val="000000"/>
          <w:sz w:val="18"/>
          <w:szCs w:val="18"/>
        </w:rPr>
        <w:t>динара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Напомена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без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обзира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приватних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тужилаца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000000"/>
          <w:sz w:val="18"/>
          <w:szCs w:val="18"/>
        </w:rPr>
        <w:t>број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кривичних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обухваћена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пресудом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кривичних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дела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учиниоца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раздвајања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донете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посебне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стране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истог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само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једанпут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177F7" w:rsidRDefault="00C177F7" w:rsidP="00C177F7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3.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одбијена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тужба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због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ненадлежности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урачунаће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али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је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која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урачунава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већа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вишак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неће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враћати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Ако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пресуда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услед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жалбе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предлога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повраћај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пређашње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стање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или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понављање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кривичног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поступка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укине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урачунаће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се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плаћена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укинуту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000000"/>
          <w:sz w:val="18"/>
          <w:szCs w:val="18"/>
        </w:rPr>
        <w:t>таксу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нову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одлуку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A75417" w:rsidRDefault="00A75417"/>
    <w:sectPr w:rsidR="00A75417" w:rsidSect="00A754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177F7"/>
    <w:rsid w:val="008555BB"/>
    <w:rsid w:val="00A75417"/>
    <w:rsid w:val="00BA2FEA"/>
    <w:rsid w:val="00C1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dragica.zivkovic</dc:creator>
  <cp:lastModifiedBy>dragica.zivkovic</cp:lastModifiedBy>
  <cp:revision>2</cp:revision>
  <dcterms:created xsi:type="dcterms:W3CDTF">2026-02-18T12:58:00Z</dcterms:created>
  <dcterms:modified xsi:type="dcterms:W3CDTF">2026-02-18T13:24:00Z</dcterms:modified>
</cp:coreProperties>
</file>